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C26B78" w:rsidRPr="00C26B78" w14:paraId="6E48E29E" w14:textId="77777777" w:rsidTr="00C26B78">
        <w:trPr>
          <w:tblCellSpacing w:w="0" w:type="dxa"/>
          <w:jc w:val="center"/>
        </w:trPr>
        <w:tc>
          <w:tcPr>
            <w:tcW w:w="12000" w:type="dxa"/>
            <w:hideMark/>
          </w:tcPr>
          <w:tbl>
            <w:tblPr>
              <w:tblW w:w="0" w:type="auto"/>
              <w:tblCellSpacing w:w="0" w:type="dxa"/>
              <w:tblCellMar>
                <w:left w:w="0" w:type="dxa"/>
                <w:right w:w="0" w:type="dxa"/>
              </w:tblCellMar>
              <w:tblLook w:val="04A0" w:firstRow="1" w:lastRow="0" w:firstColumn="1" w:lastColumn="0" w:noHBand="0" w:noVBand="1"/>
            </w:tblPr>
            <w:tblGrid>
              <w:gridCol w:w="12000"/>
            </w:tblGrid>
            <w:tr w:rsidR="00C26B78" w:rsidRPr="00C26B78" w14:paraId="6360A304" w14:textId="77777777">
              <w:trPr>
                <w:tblCellSpacing w:w="0" w:type="dxa"/>
              </w:trPr>
              <w:tc>
                <w:tcPr>
                  <w:tcW w:w="12000" w:type="dxa"/>
                  <w:shd w:val="clear" w:color="auto" w:fill="FFFFFF"/>
                  <w:hideMark/>
                </w:tcPr>
                <w:tbl>
                  <w:tblPr>
                    <w:tblW w:w="5000" w:type="pct"/>
                    <w:tblCellMar>
                      <w:left w:w="0" w:type="dxa"/>
                      <w:right w:w="0" w:type="dxa"/>
                    </w:tblCellMar>
                    <w:tblLook w:val="04A0" w:firstRow="1" w:lastRow="0" w:firstColumn="1" w:lastColumn="0" w:noHBand="0" w:noVBand="1"/>
                  </w:tblPr>
                  <w:tblGrid>
                    <w:gridCol w:w="12000"/>
                  </w:tblGrid>
                  <w:tr w:rsidR="00C26B78" w:rsidRPr="00C26B78" w14:paraId="0E62937E" w14:textId="77777777">
                    <w:tc>
                      <w:tcPr>
                        <w:tcW w:w="11700" w:type="dxa"/>
                        <w:tcMar>
                          <w:top w:w="0" w:type="dxa"/>
                          <w:left w:w="150" w:type="dxa"/>
                          <w:bottom w:w="30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11700"/>
                        </w:tblGrid>
                        <w:tr w:rsidR="00C26B78" w:rsidRPr="00C26B78" w14:paraId="66D6E698" w14:textId="77777777">
                          <w:trPr>
                            <w:tblCellSpacing w:w="0" w:type="dxa"/>
                          </w:trPr>
                          <w:tc>
                            <w:tcPr>
                              <w:tcW w:w="11400" w:type="dxa"/>
                              <w:tcMar>
                                <w:top w:w="150" w:type="dxa"/>
                                <w:left w:w="150" w:type="dxa"/>
                                <w:bottom w:w="150" w:type="dxa"/>
                                <w:right w:w="150" w:type="dxa"/>
                              </w:tcMar>
                              <w:hideMark/>
                            </w:tcPr>
                            <w:p w14:paraId="6F172AEE"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b/>
                                  <w:bCs/>
                                  <w:sz w:val="27"/>
                                  <w:szCs w:val="27"/>
                                </w:rPr>
                                <w:t xml:space="preserve">How To Plan </w:t>
                              </w:r>
                              <w:proofErr w:type="gramStart"/>
                              <w:r w:rsidRPr="00C26B78">
                                <w:rPr>
                                  <w:rFonts w:ascii="Georgia" w:eastAsia="Times New Roman" w:hAnsi="Georgia" w:cs="Times New Roman"/>
                                  <w:b/>
                                  <w:bCs/>
                                  <w:sz w:val="27"/>
                                  <w:szCs w:val="27"/>
                                </w:rPr>
                                <w:t>For</w:t>
                              </w:r>
                              <w:proofErr w:type="gramEnd"/>
                              <w:r w:rsidRPr="00C26B78">
                                <w:rPr>
                                  <w:rFonts w:ascii="Georgia" w:eastAsia="Times New Roman" w:hAnsi="Georgia" w:cs="Times New Roman"/>
                                  <w:b/>
                                  <w:bCs/>
                                  <w:sz w:val="27"/>
                                  <w:szCs w:val="27"/>
                                </w:rPr>
                                <w:t xml:space="preserve"> A Return To The Office</w:t>
                              </w:r>
                            </w:p>
                          </w:tc>
                        </w:tr>
                        <w:tr w:rsidR="00C26B78" w:rsidRPr="00C26B78" w14:paraId="41E21EF3" w14:textId="77777777">
                          <w:trPr>
                            <w:tblCellSpacing w:w="0" w:type="dxa"/>
                          </w:trPr>
                          <w:tc>
                            <w:tcPr>
                              <w:tcW w:w="11400" w:type="dxa"/>
                              <w:tcMar>
                                <w:top w:w="150" w:type="dxa"/>
                                <w:left w:w="150" w:type="dxa"/>
                                <w:bottom w:w="150" w:type="dxa"/>
                                <w:right w:w="150" w:type="dxa"/>
                              </w:tcMar>
                              <w:hideMark/>
                            </w:tcPr>
                            <w:p w14:paraId="5D59320E"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Is your sales team heading back to the office? Your employees may have mixed feelings about the transition. It’s important how your company handles the move to hybrid work or a complete return to the office. If you don’t properly address your employees’ concerns and priorities, you risk losing them to a company that better suits their needs. </w:t>
                              </w:r>
                            </w:p>
                          </w:tc>
                        </w:tr>
                        <w:tr w:rsidR="00C26B78" w:rsidRPr="00C26B78" w14:paraId="02ACA2AA" w14:textId="77777777">
                          <w:trPr>
                            <w:tblCellSpacing w:w="0" w:type="dxa"/>
                          </w:trPr>
                          <w:tc>
                            <w:tcPr>
                              <w:tcW w:w="11400" w:type="dxa"/>
                              <w:tcMar>
                                <w:top w:w="0" w:type="dxa"/>
                                <w:left w:w="150" w:type="dxa"/>
                                <w:bottom w:w="150" w:type="dxa"/>
                                <w:right w:w="150" w:type="dxa"/>
                              </w:tcMar>
                              <w:hideMark/>
                            </w:tcPr>
                            <w:p w14:paraId="1ACA1E48" w14:textId="40B86B95" w:rsidR="00C26B78" w:rsidRPr="00C26B78" w:rsidRDefault="00B1646B" w:rsidP="00C26B78">
                              <w:pPr>
                                <w:spacing w:after="0" w:line="240" w:lineRule="auto"/>
                                <w:rPr>
                                  <w:rFonts w:ascii="Roboto" w:eastAsia="Times New Roman" w:hAnsi="Roboto" w:cs="Times New Roman"/>
                                  <w:sz w:val="24"/>
                                  <w:szCs w:val="24"/>
                                </w:rPr>
                              </w:pPr>
                              <w:hyperlink r:id="rId4" w:tgtFrame="_blank" w:history="1"/>
                            </w:p>
                            <w:p w14:paraId="56F86701"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According to post on the </w:t>
                              </w:r>
                              <w:hyperlink r:id="rId5" w:tgtFrame="_blank" w:history="1">
                                <w:r w:rsidRPr="00C26B78">
                                  <w:rPr>
                                    <w:rFonts w:ascii="Georgia" w:eastAsia="Times New Roman" w:hAnsi="Georgia" w:cs="Times New Roman"/>
                                    <w:color w:val="1155CC"/>
                                    <w:sz w:val="21"/>
                                    <w:szCs w:val="21"/>
                                    <w:u w:val="single"/>
                                  </w:rPr>
                                  <w:t>Paychex.com</w:t>
                                </w:r>
                              </w:hyperlink>
                              <w:r w:rsidRPr="00C26B78">
                                <w:rPr>
                                  <w:rFonts w:ascii="Georgia" w:eastAsia="Times New Roman" w:hAnsi="Georgia" w:cs="Times New Roman"/>
                                  <w:sz w:val="21"/>
                                  <w:szCs w:val="21"/>
                                </w:rPr>
                                <w:t xml:space="preserve"> blog, employees have several concerns about returning to the office during the pandemic. These include the vaccination status of their </w:t>
                              </w:r>
                              <w:proofErr w:type="gramStart"/>
                              <w:r w:rsidRPr="00C26B78">
                                <w:rPr>
                                  <w:rFonts w:ascii="Georgia" w:eastAsia="Times New Roman" w:hAnsi="Georgia" w:cs="Times New Roman"/>
                                  <w:sz w:val="21"/>
                                  <w:szCs w:val="21"/>
                                </w:rPr>
                                <w:t>colleagues,</w:t>
                              </w:r>
                              <w:proofErr w:type="gramEnd"/>
                              <w:r w:rsidRPr="00C26B78">
                                <w:rPr>
                                  <w:rFonts w:ascii="Georgia" w:eastAsia="Times New Roman" w:hAnsi="Georgia" w:cs="Times New Roman"/>
                                  <w:sz w:val="21"/>
                                  <w:szCs w:val="21"/>
                                </w:rPr>
                                <w:t xml:space="preserve"> their employer’s sanitation practices and the ability to physically distance from others.</w:t>
                              </w:r>
                            </w:p>
                            <w:p w14:paraId="129469B5"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br/>
                                <w:t>The post points out that the pandemic has reshaped employees’ priorities and adjusted their ideas of an ideal workplace. This means it’s more important than ever that companies stay aware of their employees’ needs and respond accordingly. </w:t>
                              </w:r>
                            </w:p>
                            <w:p w14:paraId="62A7FE26"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br/>
                                <w:t>In this issue of </w:t>
                              </w:r>
                              <w:r w:rsidRPr="00C26B78">
                                <w:rPr>
                                  <w:rFonts w:ascii="Georgia" w:eastAsia="Times New Roman" w:hAnsi="Georgia" w:cs="Times New Roman"/>
                                  <w:i/>
                                  <w:iCs/>
                                  <w:sz w:val="21"/>
                                  <w:szCs w:val="21"/>
                                </w:rPr>
                                <w:t>Promotional Consultant Today</w:t>
                              </w:r>
                              <w:r w:rsidRPr="00C26B78">
                                <w:rPr>
                                  <w:rFonts w:ascii="Georgia" w:eastAsia="Times New Roman" w:hAnsi="Georgia" w:cs="Times New Roman"/>
                                  <w:sz w:val="21"/>
                                  <w:szCs w:val="21"/>
                                </w:rPr>
                                <w:t>, we outline some business considerations from the </w:t>
                              </w:r>
                              <w:hyperlink r:id="rId6" w:tgtFrame="_blank" w:history="1">
                                <w:r w:rsidRPr="00C26B78">
                                  <w:rPr>
                                    <w:rFonts w:ascii="Georgia" w:eastAsia="Times New Roman" w:hAnsi="Georgia" w:cs="Times New Roman"/>
                                    <w:color w:val="1155CC"/>
                                    <w:sz w:val="21"/>
                                    <w:szCs w:val="21"/>
                                    <w:u w:val="single"/>
                                  </w:rPr>
                                  <w:t>Paychex.com</w:t>
                                </w:r>
                              </w:hyperlink>
                              <w:r w:rsidRPr="00C26B78">
                                <w:rPr>
                                  <w:rFonts w:ascii="Georgia" w:eastAsia="Times New Roman" w:hAnsi="Georgia" w:cs="Times New Roman"/>
                                  <w:sz w:val="21"/>
                                  <w:szCs w:val="21"/>
                                </w:rPr>
                                <w:t> blog that can help companies keep their top talent as many teams return to the office.</w:t>
                              </w:r>
                            </w:p>
                            <w:p w14:paraId="61CDD6E3"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br/>
                              </w:r>
                              <w:r w:rsidRPr="00C26B78">
                                <w:rPr>
                                  <w:rFonts w:ascii="Georgia" w:eastAsia="Times New Roman" w:hAnsi="Georgia" w:cs="Times New Roman"/>
                                  <w:b/>
                                  <w:bCs/>
                                  <w:sz w:val="21"/>
                                  <w:szCs w:val="21"/>
                                </w:rPr>
                                <w:t>Survey your team members.</w:t>
                              </w:r>
                              <w:r w:rsidRPr="00C26B78">
                                <w:rPr>
                                  <w:rFonts w:ascii="Georgia" w:eastAsia="Times New Roman" w:hAnsi="Georgia" w:cs="Times New Roman"/>
                                  <w:sz w:val="21"/>
                                  <w:szCs w:val="21"/>
                                </w:rPr>
                                <w:t> One simple way to promote employee retention is to find out what matters to your sales reps. Survey them about what’s most important and then use the findings to customize their incentives. For example, the Paychex blog post notes that most workers of all ages are motivated by more pay. However, younger workers often prioritize wellness and employee lifestyle benefits in addition to a salary boost. </w:t>
                              </w:r>
                            </w:p>
                            <w:p w14:paraId="30B9AF90"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5E90ECC5"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b/>
                                  <w:bCs/>
                                  <w:sz w:val="21"/>
                                  <w:szCs w:val="21"/>
                                </w:rPr>
                                <w:t>Communicate your plans about returning to the office.</w:t>
                              </w:r>
                              <w:r w:rsidRPr="00C26B78">
                                <w:rPr>
                                  <w:rFonts w:ascii="Georgia" w:eastAsia="Times New Roman" w:hAnsi="Georgia" w:cs="Times New Roman"/>
                                  <w:sz w:val="21"/>
                                  <w:szCs w:val="21"/>
                                </w:rPr>
                                <w:t> If you haven’t started a hybrid schedule or brought your team back to the office yet, make sure the transition doesn’t come as a surprise to employees. The Paychex post advises leaders to have a conversation early with their team members so they can answer any questions honestly and with empathy. Some professionals are eager for the return while others are hesitant to give up the conveniences of remote working. Be sure to address the concerns of all your employees and give them plenty of time to adjust to the new expectations. </w:t>
                              </w:r>
                            </w:p>
                            <w:p w14:paraId="78D82A03"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17D0BD3D"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b/>
                                  <w:bCs/>
                                  <w:sz w:val="21"/>
                                  <w:szCs w:val="21"/>
                                </w:rPr>
                                <w:t>Create clear workplace health and safety policies.</w:t>
                              </w:r>
                              <w:r w:rsidRPr="00C26B78">
                                <w:rPr>
                                  <w:rFonts w:ascii="Georgia" w:eastAsia="Times New Roman" w:hAnsi="Georgia" w:cs="Times New Roman"/>
                                  <w:sz w:val="21"/>
                                  <w:szCs w:val="21"/>
                                </w:rPr>
                                <w:t> The delta variant has complicated the return-to-work plans for many companies. It’s critical that leaders provide a safe environment as employees return to the office. The Paychex blog post encourages companies to be sensitive to employee safety concerns by specifying and clearly communicating physical distancing requirements and sanitation practices. The post also advises companies to stay cognizant of federal, state and local regulations as other variants may arise. </w:t>
                              </w:r>
                            </w:p>
                            <w:p w14:paraId="3DF88249"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01AAFC0C"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b/>
                                  <w:bCs/>
                                  <w:sz w:val="21"/>
                                  <w:szCs w:val="21"/>
                                </w:rPr>
                                <w:t>Continue to offer hybrid or remote work arrangements.</w:t>
                              </w:r>
                              <w:r w:rsidRPr="00C26B78">
                                <w:rPr>
                                  <w:rFonts w:ascii="Georgia" w:eastAsia="Times New Roman" w:hAnsi="Georgia" w:cs="Times New Roman"/>
                                  <w:sz w:val="21"/>
                                  <w:szCs w:val="21"/>
                                </w:rPr>
                                <w:t> As the pandemic continues, it’s wise to allow employees to continue to work from home when possible. This can help ease concerns about being in the office again and can help provide the work-life balance that many employees seek. If your company decides to give employees some flexibility in where they work, make sure you give remote and hybrid workers the same access to benefits and opportunities as those working in the office, the Paychex post recommends. </w:t>
                              </w:r>
                            </w:p>
                            <w:p w14:paraId="1793FD74"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236EFB40"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People crave a sense of normalcy amid all the uncertainty of the pandemic. While a return to the office can provide some routine, it has to be done safely. Leaders should communicate health and safety protocols and learn how their employees feel about coming back to the office. There’s no one-size-fits-all approach, so take time to thoughtfully bring your employees back to the office. </w:t>
                              </w:r>
                            </w:p>
                            <w:p w14:paraId="73A981E4"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48E8F825"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Compiled by Audrey Sellers </w:t>
                              </w:r>
                            </w:p>
                            <w:p w14:paraId="2C848812"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 </w:t>
                              </w:r>
                            </w:p>
                            <w:p w14:paraId="7364F234" w14:textId="77777777" w:rsidR="00C26B78" w:rsidRPr="00C26B78" w:rsidRDefault="00C26B78" w:rsidP="00C26B78">
                              <w:pPr>
                                <w:spacing w:after="0" w:line="240" w:lineRule="auto"/>
                                <w:rPr>
                                  <w:rFonts w:ascii="Roboto" w:eastAsia="Times New Roman" w:hAnsi="Roboto" w:cs="Times New Roman"/>
                                  <w:sz w:val="24"/>
                                  <w:szCs w:val="24"/>
                                </w:rPr>
                              </w:pPr>
                              <w:r w:rsidRPr="00C26B78">
                                <w:rPr>
                                  <w:rFonts w:ascii="Georgia" w:eastAsia="Times New Roman" w:hAnsi="Georgia" w:cs="Times New Roman"/>
                                  <w:sz w:val="21"/>
                                  <w:szCs w:val="21"/>
                                </w:rPr>
                                <w:t>Source: </w:t>
                              </w:r>
                              <w:hyperlink r:id="rId7" w:tgtFrame="_blank" w:history="1">
                                <w:r w:rsidRPr="00C26B78">
                                  <w:rPr>
                                    <w:rFonts w:ascii="Georgia" w:eastAsia="Times New Roman" w:hAnsi="Georgia" w:cs="Times New Roman"/>
                                    <w:color w:val="1155CC"/>
                                    <w:sz w:val="21"/>
                                    <w:szCs w:val="21"/>
                                    <w:u w:val="single"/>
                                  </w:rPr>
                                  <w:t>The </w:t>
                                </w:r>
                              </w:hyperlink>
                              <w:hyperlink r:id="rId8" w:tgtFrame="_blank" w:history="1">
                                <w:r w:rsidRPr="00C26B78">
                                  <w:rPr>
                                    <w:rFonts w:ascii="Georgia" w:eastAsia="Times New Roman" w:hAnsi="Georgia" w:cs="Times New Roman"/>
                                    <w:color w:val="1155CC"/>
                                    <w:sz w:val="21"/>
                                    <w:szCs w:val="21"/>
                                    <w:u w:val="single"/>
                                  </w:rPr>
                                  <w:t>Paychex.com</w:t>
                                </w:r>
                              </w:hyperlink>
                              <w:r w:rsidRPr="00C26B78">
                                <w:rPr>
                                  <w:rFonts w:ascii="Georgia" w:eastAsia="Times New Roman" w:hAnsi="Georgia" w:cs="Times New Roman"/>
                                  <w:sz w:val="21"/>
                                  <w:szCs w:val="21"/>
                                </w:rPr>
                                <w:t> blog. Paychex is a provider of integrated human capital management solutions for payroll, benefits, human resources and insurance services.</w:t>
                              </w:r>
                            </w:p>
                          </w:tc>
                        </w:tr>
                      </w:tbl>
                      <w:p w14:paraId="33E90B48" w14:textId="77777777" w:rsidR="00C26B78" w:rsidRPr="00C26B78" w:rsidRDefault="00C26B78" w:rsidP="00C26B78">
                        <w:pPr>
                          <w:spacing w:after="0" w:line="240" w:lineRule="auto"/>
                          <w:rPr>
                            <w:rFonts w:ascii="Roboto" w:eastAsia="Times New Roman" w:hAnsi="Roboto" w:cs="Times New Roman"/>
                            <w:sz w:val="24"/>
                            <w:szCs w:val="24"/>
                          </w:rPr>
                        </w:pPr>
                      </w:p>
                    </w:tc>
                  </w:tr>
                </w:tbl>
                <w:p w14:paraId="76C0F414" w14:textId="77777777" w:rsidR="00C26B78" w:rsidRPr="00C26B78" w:rsidRDefault="00C26B78" w:rsidP="00C26B78">
                  <w:pPr>
                    <w:spacing w:after="0" w:line="240" w:lineRule="auto"/>
                    <w:rPr>
                      <w:rFonts w:ascii="Roboto" w:eastAsia="Times New Roman" w:hAnsi="Roboto" w:cs="Times New Roman"/>
                      <w:sz w:val="24"/>
                      <w:szCs w:val="24"/>
                    </w:rPr>
                  </w:pPr>
                </w:p>
              </w:tc>
            </w:tr>
          </w:tbl>
          <w:p w14:paraId="0D5AC51F" w14:textId="77777777" w:rsidR="00C26B78" w:rsidRPr="00C26B78" w:rsidRDefault="00C26B78" w:rsidP="00C26B78">
            <w:pPr>
              <w:spacing w:after="0" w:line="240" w:lineRule="auto"/>
              <w:rPr>
                <w:rFonts w:ascii="Roboto" w:eastAsia="Times New Roman" w:hAnsi="Roboto" w:cs="Times New Roman"/>
                <w:sz w:val="24"/>
                <w:szCs w:val="24"/>
              </w:rPr>
            </w:pPr>
          </w:p>
        </w:tc>
      </w:tr>
    </w:tbl>
    <w:p w14:paraId="412EE3A2" w14:textId="77777777" w:rsidR="004E3104" w:rsidRDefault="004E3104"/>
    <w:sectPr w:rsidR="004E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78"/>
    <w:rsid w:val="003C028E"/>
    <w:rsid w:val="004E3104"/>
    <w:rsid w:val="00AF0C23"/>
    <w:rsid w:val="00B1646B"/>
    <w:rsid w:val="00C2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ECA4"/>
  <w15:chartTrackingRefBased/>
  <w15:docId w15:val="{EAB3FD1C-02FC-4A07-883A-6BE569B0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0881">
      <w:bodyDiv w:val="1"/>
      <w:marLeft w:val="0"/>
      <w:marRight w:val="0"/>
      <w:marTop w:val="0"/>
      <w:marBottom w:val="0"/>
      <w:divBdr>
        <w:top w:val="none" w:sz="0" w:space="0" w:color="auto"/>
        <w:left w:val="none" w:sz="0" w:space="0" w:color="auto"/>
        <w:bottom w:val="none" w:sz="0" w:space="0" w:color="auto"/>
        <w:right w:val="none" w:sz="0" w:space="0" w:color="auto"/>
      </w:divBdr>
      <w:divsChild>
        <w:div w:id="155007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538599">
              <w:marLeft w:val="0"/>
              <w:marRight w:val="0"/>
              <w:marTop w:val="0"/>
              <w:marBottom w:val="0"/>
              <w:divBdr>
                <w:top w:val="none" w:sz="0" w:space="0" w:color="auto"/>
                <w:left w:val="none" w:sz="0" w:space="0" w:color="auto"/>
                <w:bottom w:val="none" w:sz="0" w:space="0" w:color="auto"/>
                <w:right w:val="none" w:sz="0" w:space="0" w:color="auto"/>
              </w:divBdr>
              <w:divsChild>
                <w:div w:id="27494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6410">
                      <w:marLeft w:val="0"/>
                      <w:marRight w:val="0"/>
                      <w:marTop w:val="0"/>
                      <w:marBottom w:val="0"/>
                      <w:divBdr>
                        <w:top w:val="none" w:sz="0" w:space="0" w:color="auto"/>
                        <w:left w:val="none" w:sz="0" w:space="0" w:color="auto"/>
                        <w:bottom w:val="none" w:sz="0" w:space="0" w:color="auto"/>
                        <w:right w:val="none" w:sz="0" w:space="0" w:color="auto"/>
                      </w:divBdr>
                      <w:divsChild>
                        <w:div w:id="114563082">
                          <w:marLeft w:val="0"/>
                          <w:marRight w:val="0"/>
                          <w:marTop w:val="0"/>
                          <w:marBottom w:val="0"/>
                          <w:divBdr>
                            <w:top w:val="none" w:sz="0" w:space="0" w:color="auto"/>
                            <w:left w:val="none" w:sz="0" w:space="0" w:color="auto"/>
                            <w:bottom w:val="none" w:sz="0" w:space="0" w:color="auto"/>
                            <w:right w:val="none" w:sz="0" w:space="0" w:color="auto"/>
                          </w:divBdr>
                          <w:divsChild>
                            <w:div w:id="1048531327">
                              <w:marLeft w:val="0"/>
                              <w:marRight w:val="0"/>
                              <w:marTop w:val="0"/>
                              <w:marBottom w:val="0"/>
                              <w:divBdr>
                                <w:top w:val="none" w:sz="0" w:space="0" w:color="auto"/>
                                <w:left w:val="none" w:sz="0" w:space="0" w:color="auto"/>
                                <w:bottom w:val="none" w:sz="0" w:space="0" w:color="auto"/>
                                <w:right w:val="none" w:sz="0" w:space="0" w:color="auto"/>
                              </w:divBdr>
                            </w:div>
                            <w:div w:id="165025614">
                              <w:marLeft w:val="0"/>
                              <w:marRight w:val="0"/>
                              <w:marTop w:val="0"/>
                              <w:marBottom w:val="0"/>
                              <w:divBdr>
                                <w:top w:val="none" w:sz="0" w:space="0" w:color="auto"/>
                                <w:left w:val="none" w:sz="0" w:space="0" w:color="auto"/>
                                <w:bottom w:val="none" w:sz="0" w:space="0" w:color="auto"/>
                                <w:right w:val="none" w:sz="0" w:space="0" w:color="auto"/>
                              </w:divBdr>
                            </w:div>
                            <w:div w:id="1044452065">
                              <w:marLeft w:val="0"/>
                              <w:marRight w:val="0"/>
                              <w:marTop w:val="0"/>
                              <w:marBottom w:val="0"/>
                              <w:divBdr>
                                <w:top w:val="none" w:sz="0" w:space="0" w:color="auto"/>
                                <w:left w:val="none" w:sz="0" w:space="0" w:color="auto"/>
                                <w:bottom w:val="none" w:sz="0" w:space="0" w:color="auto"/>
                                <w:right w:val="none" w:sz="0" w:space="0" w:color="auto"/>
                              </w:divBdr>
                              <w:divsChild>
                                <w:div w:id="736365444">
                                  <w:marLeft w:val="0"/>
                                  <w:marRight w:val="0"/>
                                  <w:marTop w:val="0"/>
                                  <w:marBottom w:val="0"/>
                                  <w:divBdr>
                                    <w:top w:val="none" w:sz="0" w:space="0" w:color="auto"/>
                                    <w:left w:val="none" w:sz="0" w:space="0" w:color="auto"/>
                                    <w:bottom w:val="none" w:sz="0" w:space="0" w:color="auto"/>
                                    <w:right w:val="none" w:sz="0" w:space="0" w:color="auto"/>
                                  </w:divBdr>
                                </w:div>
                                <w:div w:id="1288465054">
                                  <w:marLeft w:val="0"/>
                                  <w:marRight w:val="0"/>
                                  <w:marTop w:val="0"/>
                                  <w:marBottom w:val="0"/>
                                  <w:divBdr>
                                    <w:top w:val="none" w:sz="0" w:space="0" w:color="auto"/>
                                    <w:left w:val="none" w:sz="0" w:space="0" w:color="auto"/>
                                    <w:bottom w:val="none" w:sz="0" w:space="0" w:color="auto"/>
                                    <w:right w:val="none" w:sz="0" w:space="0" w:color="auto"/>
                                  </w:divBdr>
                                </w:div>
                                <w:div w:id="1754930340">
                                  <w:marLeft w:val="0"/>
                                  <w:marRight w:val="0"/>
                                  <w:marTop w:val="0"/>
                                  <w:marBottom w:val="0"/>
                                  <w:divBdr>
                                    <w:top w:val="none" w:sz="0" w:space="0" w:color="auto"/>
                                    <w:left w:val="none" w:sz="0" w:space="0" w:color="auto"/>
                                    <w:bottom w:val="none" w:sz="0" w:space="0" w:color="auto"/>
                                    <w:right w:val="none" w:sz="0" w:space="0" w:color="auto"/>
                                  </w:divBdr>
                                </w:div>
                                <w:div w:id="1495604620">
                                  <w:marLeft w:val="0"/>
                                  <w:marRight w:val="0"/>
                                  <w:marTop w:val="0"/>
                                  <w:marBottom w:val="0"/>
                                  <w:divBdr>
                                    <w:top w:val="none" w:sz="0" w:space="0" w:color="auto"/>
                                    <w:left w:val="none" w:sz="0" w:space="0" w:color="auto"/>
                                    <w:bottom w:val="none" w:sz="0" w:space="0" w:color="auto"/>
                                    <w:right w:val="none" w:sz="0" w:space="0" w:color="auto"/>
                                  </w:divBdr>
                                </w:div>
                                <w:div w:id="331295623">
                                  <w:marLeft w:val="0"/>
                                  <w:marRight w:val="0"/>
                                  <w:marTop w:val="0"/>
                                  <w:marBottom w:val="0"/>
                                  <w:divBdr>
                                    <w:top w:val="none" w:sz="0" w:space="0" w:color="auto"/>
                                    <w:left w:val="none" w:sz="0" w:space="0" w:color="auto"/>
                                    <w:bottom w:val="none" w:sz="0" w:space="0" w:color="auto"/>
                                    <w:right w:val="none" w:sz="0" w:space="0" w:color="auto"/>
                                  </w:divBdr>
                                </w:div>
                                <w:div w:id="1677149750">
                                  <w:marLeft w:val="0"/>
                                  <w:marRight w:val="0"/>
                                  <w:marTop w:val="0"/>
                                  <w:marBottom w:val="0"/>
                                  <w:divBdr>
                                    <w:top w:val="none" w:sz="0" w:space="0" w:color="auto"/>
                                    <w:left w:val="none" w:sz="0" w:space="0" w:color="auto"/>
                                    <w:bottom w:val="none" w:sz="0" w:space="0" w:color="auto"/>
                                    <w:right w:val="none" w:sz="0" w:space="0" w:color="auto"/>
                                  </w:divBdr>
                                </w:div>
                                <w:div w:id="659626828">
                                  <w:marLeft w:val="0"/>
                                  <w:marRight w:val="0"/>
                                  <w:marTop w:val="0"/>
                                  <w:marBottom w:val="0"/>
                                  <w:divBdr>
                                    <w:top w:val="none" w:sz="0" w:space="0" w:color="auto"/>
                                    <w:left w:val="none" w:sz="0" w:space="0" w:color="auto"/>
                                    <w:bottom w:val="none" w:sz="0" w:space="0" w:color="auto"/>
                                    <w:right w:val="none" w:sz="0" w:space="0" w:color="auto"/>
                                  </w:divBdr>
                                </w:div>
                                <w:div w:id="1127434984">
                                  <w:marLeft w:val="0"/>
                                  <w:marRight w:val="0"/>
                                  <w:marTop w:val="0"/>
                                  <w:marBottom w:val="0"/>
                                  <w:divBdr>
                                    <w:top w:val="none" w:sz="0" w:space="0" w:color="auto"/>
                                    <w:left w:val="none" w:sz="0" w:space="0" w:color="auto"/>
                                    <w:bottom w:val="none" w:sz="0" w:space="0" w:color="auto"/>
                                    <w:right w:val="none" w:sz="0" w:space="0" w:color="auto"/>
                                  </w:divBdr>
                                </w:div>
                                <w:div w:id="1240214168">
                                  <w:marLeft w:val="0"/>
                                  <w:marRight w:val="0"/>
                                  <w:marTop w:val="0"/>
                                  <w:marBottom w:val="0"/>
                                  <w:divBdr>
                                    <w:top w:val="none" w:sz="0" w:space="0" w:color="auto"/>
                                    <w:left w:val="none" w:sz="0" w:space="0" w:color="auto"/>
                                    <w:bottom w:val="none" w:sz="0" w:space="0" w:color="auto"/>
                                    <w:right w:val="none" w:sz="0" w:space="0" w:color="auto"/>
                                  </w:divBdr>
                                </w:div>
                                <w:div w:id="372461552">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
                                <w:div w:id="361786409">
                                  <w:marLeft w:val="0"/>
                                  <w:marRight w:val="0"/>
                                  <w:marTop w:val="0"/>
                                  <w:marBottom w:val="0"/>
                                  <w:divBdr>
                                    <w:top w:val="none" w:sz="0" w:space="0" w:color="auto"/>
                                    <w:left w:val="none" w:sz="0" w:space="0" w:color="auto"/>
                                    <w:bottom w:val="none" w:sz="0" w:space="0" w:color="auto"/>
                                    <w:right w:val="none" w:sz="0" w:space="0" w:color="auto"/>
                                  </w:divBdr>
                                </w:div>
                                <w:div w:id="2145583349">
                                  <w:marLeft w:val="0"/>
                                  <w:marRight w:val="0"/>
                                  <w:marTop w:val="0"/>
                                  <w:marBottom w:val="0"/>
                                  <w:divBdr>
                                    <w:top w:val="none" w:sz="0" w:space="0" w:color="auto"/>
                                    <w:left w:val="none" w:sz="0" w:space="0" w:color="auto"/>
                                    <w:bottom w:val="none" w:sz="0" w:space="0" w:color="auto"/>
                                    <w:right w:val="none" w:sz="0" w:space="0" w:color="auto"/>
                                  </w:divBdr>
                                </w:div>
                                <w:div w:id="1231575790">
                                  <w:marLeft w:val="0"/>
                                  <w:marRight w:val="0"/>
                                  <w:marTop w:val="0"/>
                                  <w:marBottom w:val="0"/>
                                  <w:divBdr>
                                    <w:top w:val="none" w:sz="0" w:space="0" w:color="auto"/>
                                    <w:left w:val="none" w:sz="0" w:space="0" w:color="auto"/>
                                    <w:bottom w:val="none" w:sz="0" w:space="0" w:color="auto"/>
                                    <w:right w:val="none" w:sz="0" w:space="0" w:color="auto"/>
                                  </w:divBdr>
                                </w:div>
                                <w:div w:id="1874687150">
                                  <w:marLeft w:val="0"/>
                                  <w:marRight w:val="0"/>
                                  <w:marTop w:val="0"/>
                                  <w:marBottom w:val="0"/>
                                  <w:divBdr>
                                    <w:top w:val="none" w:sz="0" w:space="0" w:color="auto"/>
                                    <w:left w:val="none" w:sz="0" w:space="0" w:color="auto"/>
                                    <w:bottom w:val="none" w:sz="0" w:space="0" w:color="auto"/>
                                    <w:right w:val="none" w:sz="0" w:space="0" w:color="auto"/>
                                  </w:divBdr>
                                </w:div>
                                <w:div w:id="14640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Paychex.com&amp;d=DwQFAw&amp;c=euGZstcaTDllvimEN8b7jXrwqOf-v5A_CdpgnVfiiMM&amp;r=5l9T7iGs3eN2Nh-ZQ-LMdTxX5onYJfVQ1lejSofHV34&amp;m=ym-qzQg4anXjFR14gis5DSLWyNiEcOm3FIe8mtyRHg4&amp;s=tU8eLqpWTMXIb60PjeCUUtI3A1mWpFvUBn45apmtLnc&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mmsend95.com_link.cfm-3Fr-3DJRS6k-5FdCc7pv9-2DwdL5WZgg-7E-7E-26pe-3DxIBil4WAcIhWvHx1dhOOSFZlpzFcXRILxXagjdS1ZITA0kJL37w3vVuExldPYPRYhoolcJVAknca-5FUt3zc431Q-7E-7E-26t-3DDStC0WAccWdqMrmDWMSzzg-7E-7E&amp;d=DwMFAw&amp;c=euGZstcaTDllvimEN8b7jXrwqOf-v5A_CdpgnVfiiMM&amp;r=5l9T7iGs3eN2Nh-ZQ-LMdTxX5onYJfVQ1lejSofHV34&amp;m=ym-qzQg4anXjFR14gis5DSLWyNiEcOm3FIe8mtyRHg4&amp;s=1ixGIXb5bv_dMfim0aA27HyMYMTTWtrYqyg8XnHywkA&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Paychex.com&amp;d=DwQFAw&amp;c=euGZstcaTDllvimEN8b7jXrwqOf-v5A_CdpgnVfiiMM&amp;r=5l9T7iGs3eN2Nh-ZQ-LMdTxX5onYJfVQ1lejSofHV34&amp;m=ym-qzQg4anXjFR14gis5DSLWyNiEcOm3FIe8mtyRHg4&amp;s=tU8eLqpWTMXIb60PjeCUUtI3A1mWpFvUBn45apmtLnc&amp;e=" TargetMode="External"/><Relationship Id="rId5" Type="http://schemas.openxmlformats.org/officeDocument/2006/relationships/hyperlink" Target="https://urldefense.proofpoint.com/v2/url?u=http-3A__Paychex.com&amp;d=DwQFAw&amp;c=euGZstcaTDllvimEN8b7jXrwqOf-v5A_CdpgnVfiiMM&amp;r=5l9T7iGs3eN2Nh-ZQ-LMdTxX5onYJfVQ1lejSofHV34&amp;m=ym-qzQg4anXjFR14gis5DSLWyNiEcOm3FIe8mtyRHg4&amp;s=tU8eLqpWTMXIb60PjeCUUtI3A1mWpFvUBn45apmtLnc&amp;e=" TargetMode="External"/><Relationship Id="rId10" Type="http://schemas.openxmlformats.org/officeDocument/2006/relationships/theme" Target="theme/theme1.xml"/><Relationship Id="rId4" Type="http://schemas.openxmlformats.org/officeDocument/2006/relationships/hyperlink" Target="https://urldefense.proofpoint.com/v2/url?u=http-3A__www.mmsend95.com_link.cfm-3Fr-3DJRS6k-5FdCc7pv9-2DwdL5WZgg-7E-7E-26pe-3DgSCRNTxH1C22o99-2DTwdS2YpXJtF91QZz5rFLCqQA1-5FD9XtqLhbdcP9FJyCtlvOCnbaX3Ye5uq0ez2BKothjODQ-7E-7E-26t-3DDStC0WAccWdqMrmDWMSzzg-7E-7E&amp;d=DwMFAw&amp;c=euGZstcaTDllvimEN8b7jXrwqOf-v5A_CdpgnVfiiMM&amp;r=5l9T7iGs3eN2Nh-ZQ-LMdTxX5onYJfVQ1lejSofHV34&amp;m=ym-qzQg4anXjFR14gis5DSLWyNiEcOm3FIe8mtyRHg4&amp;s=MlIO2vEsmHYXQCsU_74cwA8oAgn5AzH0CSv-VdPSXwM&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Badiner</dc:creator>
  <cp:keywords/>
  <dc:description/>
  <cp:lastModifiedBy>Richard Badiner</cp:lastModifiedBy>
  <cp:revision>2</cp:revision>
  <dcterms:created xsi:type="dcterms:W3CDTF">2021-09-30T13:38:00Z</dcterms:created>
  <dcterms:modified xsi:type="dcterms:W3CDTF">2021-09-30T13:38:00Z</dcterms:modified>
</cp:coreProperties>
</file>